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3F" w:rsidRPr="0011263F" w:rsidRDefault="0011263F">
      <w:pPr>
        <w:rPr>
          <w:rFonts w:ascii="微軟正黑體" w:eastAsia="微軟正黑體" w:hAnsi="微軟正黑體"/>
          <w:szCs w:val="24"/>
        </w:rPr>
      </w:pPr>
      <w:r w:rsidRPr="0011263F">
        <w:rPr>
          <w:rFonts w:ascii="微軟正黑體" w:eastAsia="微軟正黑體" w:hAnsi="微軟正黑體" w:cs="Times New Roman"/>
          <w:b/>
          <w:bCs/>
          <w:color w:val="FFFFFF"/>
          <w:szCs w:val="24"/>
          <w:shd w:val="clear" w:color="auto" w:fill="66CC00"/>
        </w:rPr>
        <w:t>歐洲共同體商標規則</w:t>
      </w:r>
    </w:p>
    <w:tbl>
      <w:tblPr>
        <w:tblW w:w="6204" w:type="dxa"/>
        <w:tblCellSpacing w:w="15" w:type="dxa"/>
        <w:shd w:val="clear" w:color="auto" w:fill="FFFFFF"/>
        <w:tblCellMar>
          <w:top w:w="12" w:type="dxa"/>
          <w:left w:w="12" w:type="dxa"/>
          <w:bottom w:w="12" w:type="dxa"/>
          <w:right w:w="12" w:type="dxa"/>
        </w:tblCellMar>
        <w:tblLook w:val="04A0" w:firstRow="1" w:lastRow="0" w:firstColumn="1" w:lastColumn="0" w:noHBand="0" w:noVBand="1"/>
      </w:tblPr>
      <w:tblGrid>
        <w:gridCol w:w="6270"/>
      </w:tblGrid>
      <w:tr w:rsidR="0011263F" w:rsidRPr="0011263F" w:rsidTr="0011263F">
        <w:trPr>
          <w:tblCellSpacing w:w="15" w:type="dxa"/>
        </w:trPr>
        <w:tc>
          <w:tcPr>
            <w:tcW w:w="0" w:type="auto"/>
            <w:shd w:val="clear" w:color="auto" w:fill="FFFFFF"/>
            <w:vAlign w:val="center"/>
            <w:hideMark/>
          </w:tcPr>
          <w:p w:rsidR="0011263F" w:rsidRPr="0011263F" w:rsidRDefault="0011263F" w:rsidP="0011263F">
            <w:pPr>
              <w:widowControl/>
              <w:rPr>
                <w:rFonts w:ascii="微軟正黑體" w:eastAsia="微軟正黑體" w:hAnsi="微軟正黑體" w:cs="Times New Roman"/>
                <w:kern w:val="0"/>
                <w:szCs w:val="24"/>
              </w:rPr>
            </w:pPr>
            <w:r w:rsidRPr="0011263F">
              <w:rPr>
                <w:rFonts w:ascii="微軟正黑體" w:eastAsia="微軟正黑體" w:hAnsi="微軟正黑體" w:cs="Times New Roman"/>
                <w:color w:val="0066FF"/>
                <w:kern w:val="0"/>
                <w:szCs w:val="24"/>
              </w:rPr>
              <w:t>第一節 共同體商標之定義、取得</w:t>
            </w:r>
          </w:p>
        </w:tc>
      </w:tr>
      <w:tr w:rsidR="0011263F" w:rsidRPr="0011263F" w:rsidTr="0011263F">
        <w:trPr>
          <w:tblCellSpacing w:w="15" w:type="dxa"/>
        </w:trPr>
        <w:tc>
          <w:tcPr>
            <w:tcW w:w="0" w:type="auto"/>
            <w:shd w:val="clear" w:color="auto" w:fill="FFFFFF"/>
            <w:vAlign w:val="center"/>
            <w:hideMark/>
          </w:tcPr>
          <w:tbl>
            <w:tblPr>
              <w:tblW w:w="5904" w:type="dxa"/>
              <w:tblCellSpacing w:w="15" w:type="dxa"/>
              <w:tblCellMar>
                <w:top w:w="12" w:type="dxa"/>
                <w:left w:w="12" w:type="dxa"/>
                <w:bottom w:w="12" w:type="dxa"/>
                <w:right w:w="12" w:type="dxa"/>
              </w:tblCellMar>
              <w:tblLook w:val="04A0" w:firstRow="1" w:lastRow="0" w:firstColumn="1" w:lastColumn="0" w:noHBand="0" w:noVBand="1"/>
            </w:tblPr>
            <w:tblGrid>
              <w:gridCol w:w="141"/>
              <w:gridCol w:w="6045"/>
            </w:tblGrid>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4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第四條、共同體商標所包括之標章</w:t>
                  </w: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472" w:type="dxa"/>
                  <w:vAlign w:val="center"/>
                  <w:hideMark/>
                </w:tcPr>
                <w:tbl>
                  <w:tblPr>
                    <w:tblW w:w="5568" w:type="dxa"/>
                    <w:tblCellSpacing w:w="15" w:type="dxa"/>
                    <w:tblCellMar>
                      <w:top w:w="48" w:type="dxa"/>
                      <w:left w:w="48" w:type="dxa"/>
                      <w:bottom w:w="48" w:type="dxa"/>
                      <w:right w:w="48" w:type="dxa"/>
                    </w:tblCellMar>
                    <w:tblLook w:val="04A0" w:firstRow="1" w:lastRow="0" w:firstColumn="1" w:lastColumn="0" w:noHBand="0" w:noVBand="1"/>
                  </w:tblPr>
                  <w:tblGrid>
                    <w:gridCol w:w="566"/>
                    <w:gridCol w:w="5002"/>
                  </w:tblGrid>
                  <w:tr w:rsidR="0011263F" w:rsidRPr="0011263F">
                    <w:trPr>
                      <w:tblCellSpacing w:w="15" w:type="dxa"/>
                    </w:trPr>
                    <w:tc>
                      <w:tcPr>
                        <w:tcW w:w="50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80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任何足以區分事業之商品或勞務之標章，其足以彰顯地理性，尤其是文字包括個人姓名，設計，字母，數字，商品之形狀或其包裝皆得成為共同體商標。</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4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第五條、共同體商標之專用權人</w:t>
                  </w: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472" w:type="dxa"/>
                  <w:vAlign w:val="center"/>
                  <w:hideMark/>
                </w:tcPr>
                <w:tbl>
                  <w:tblPr>
                    <w:tblW w:w="5976" w:type="dxa"/>
                    <w:tblCellSpacing w:w="15" w:type="dxa"/>
                    <w:tblCellMar>
                      <w:top w:w="48" w:type="dxa"/>
                      <w:left w:w="48" w:type="dxa"/>
                      <w:bottom w:w="48" w:type="dxa"/>
                      <w:right w:w="48" w:type="dxa"/>
                    </w:tblCellMar>
                    <w:tblLook w:val="04A0" w:firstRow="1" w:lastRow="0" w:firstColumn="1" w:lastColumn="0" w:noHBand="0" w:noVBand="1"/>
                  </w:tblPr>
                  <w:tblGrid>
                    <w:gridCol w:w="540"/>
                    <w:gridCol w:w="5436"/>
                  </w:tblGrid>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23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下列之自然人或法人，包括依公法設立之機關，得為歐市商標之專用權人：</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a) 會員國之國民；或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(b) 保護工業財產之巴黎公約（以下稱巴黎公約）或世界貿易組織成立協議之締約國；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(c) 非巴黎公約締約國之國民而於共同體或巴黎公約締國境內設有住所或場所或真實及有效之工業或商業營業所者；</w:t>
                        </w:r>
                        <w:proofErr w:type="gramStart"/>
                        <w:r w:rsidRPr="0011263F">
                          <w:rPr>
                            <w:rFonts w:ascii="微軟正黑體" w:eastAsia="微軟正黑體" w:hAnsi="微軟正黑體" w:cs="新細明體"/>
                            <w:kern w:val="0"/>
                            <w:szCs w:val="24"/>
                          </w:rPr>
                          <w:t>或 </w:t>
                        </w:r>
                        <w:proofErr w:type="gramEnd"/>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(d) 上述(c)款以外之國民，其本國非巴黎公約或世界貿易組織設立協議之締約國；而依據已公布</w:t>
                        </w:r>
                        <w:r w:rsidRPr="0011263F">
                          <w:rPr>
                            <w:rFonts w:ascii="微軟正黑體" w:eastAsia="微軟正黑體" w:hAnsi="微軟正黑體" w:cs="新細明體"/>
                            <w:kern w:val="0"/>
                            <w:szCs w:val="24"/>
                          </w:rPr>
                          <w:lastRenderedPageBreak/>
                          <w:t>之資料，給予所有會員國國民等同於其本國民所享有之商標保護及如會員國之國民應提出起源地之註冊證明時，其承認共同體之註冊證明者；</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23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關於第１項之適用，依1954年9月28日於紐約簽訂之關於無國籍人士之地位公約第一條所定義之無國籍人士及1951年7月28日日內瓦關於難民地位公約第一條及其後經1967年1月31日於紐約簽訂之關於難民地位之協議修正之難民，以其經常之住所地所在國為其本國。</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23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屬於上述１(d)</w:t>
                        </w:r>
                        <w:proofErr w:type="gramStart"/>
                        <w:r w:rsidRPr="0011263F">
                          <w:rPr>
                            <w:rFonts w:ascii="微軟正黑體" w:eastAsia="微軟正黑體" w:hAnsi="微軟正黑體" w:cs="新細明體"/>
                            <w:kern w:val="0"/>
                            <w:szCs w:val="24"/>
                          </w:rPr>
                          <w:t>項款國家</w:t>
                        </w:r>
                        <w:proofErr w:type="gramEnd"/>
                        <w:r w:rsidRPr="0011263F">
                          <w:rPr>
                            <w:rFonts w:ascii="微軟正黑體" w:eastAsia="微軟正黑體" w:hAnsi="微軟正黑體" w:cs="新細明體"/>
                            <w:kern w:val="0"/>
                            <w:szCs w:val="24"/>
                          </w:rPr>
                          <w:t>之人民，應證明其申請共同體商標之商標已經於起源地國註冊，但依已公布之資料，會員國國民之商標於該起源地國註冊無須提出共同體商標註冊之證明或為會員國內之商標者，不在此限。</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4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第六條、取得共同體商標之方式</w:t>
                  </w: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472" w:type="dxa"/>
                  <w:vAlign w:val="center"/>
                  <w:hideMark/>
                </w:tcPr>
                <w:tbl>
                  <w:tblPr>
                    <w:tblW w:w="5508" w:type="dxa"/>
                    <w:tblCellSpacing w:w="15" w:type="dxa"/>
                    <w:tblCellMar>
                      <w:top w:w="12" w:type="dxa"/>
                      <w:left w:w="12" w:type="dxa"/>
                      <w:bottom w:w="12" w:type="dxa"/>
                      <w:right w:w="12" w:type="dxa"/>
                    </w:tblCellMar>
                    <w:tblLook w:val="04A0" w:firstRow="1" w:lastRow="0" w:firstColumn="1" w:lastColumn="0" w:noHBand="0" w:noVBand="1"/>
                  </w:tblPr>
                  <w:tblGrid>
                    <w:gridCol w:w="612"/>
                    <w:gridCol w:w="4896"/>
                  </w:tblGrid>
                  <w:tr w:rsidR="0011263F" w:rsidRPr="0011263F">
                    <w:trPr>
                      <w:tblCellSpacing w:w="15" w:type="dxa"/>
                    </w:trPr>
                    <w:tc>
                      <w:tcPr>
                        <w:tcW w:w="5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82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共同體商標應依註冊而取得。</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4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第七條、拒絕之絕對事由</w:t>
                  </w: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472" w:type="dxa"/>
                  <w:vAlign w:val="center"/>
                  <w:hideMark/>
                </w:tcPr>
                <w:tbl>
                  <w:tblPr>
                    <w:tblW w:w="5580" w:type="dxa"/>
                    <w:tblCellSpacing w:w="15" w:type="dxa"/>
                    <w:tblCellMar>
                      <w:top w:w="48" w:type="dxa"/>
                      <w:left w:w="48" w:type="dxa"/>
                      <w:bottom w:w="48" w:type="dxa"/>
                      <w:right w:w="48" w:type="dxa"/>
                    </w:tblCellMar>
                    <w:tblLook w:val="04A0" w:firstRow="1" w:lastRow="0" w:firstColumn="1" w:lastColumn="0" w:noHBand="0" w:noVBand="1"/>
                  </w:tblPr>
                  <w:tblGrid>
                    <w:gridCol w:w="541"/>
                    <w:gridCol w:w="5039"/>
                  </w:tblGrid>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83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有下列情形之</w:t>
                        </w:r>
                        <w:proofErr w:type="gramStart"/>
                        <w:r w:rsidRPr="0011263F">
                          <w:rPr>
                            <w:rFonts w:ascii="微軟正黑體" w:eastAsia="微軟正黑體" w:hAnsi="微軟正黑體" w:cs="新細明體"/>
                            <w:kern w:val="0"/>
                            <w:szCs w:val="24"/>
                          </w:rPr>
                          <w:t>一</w:t>
                        </w:r>
                        <w:proofErr w:type="gramEnd"/>
                        <w:r w:rsidRPr="0011263F">
                          <w:rPr>
                            <w:rFonts w:ascii="微軟正黑體" w:eastAsia="微軟正黑體" w:hAnsi="微軟正黑體" w:cs="新細明體"/>
                            <w:kern w:val="0"/>
                            <w:szCs w:val="24"/>
                          </w:rPr>
                          <w:t>者，不得註冊：</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a) 標章不符第四條所定之要件者；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(b) 商標不具顯著之特性；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(c) 商標為商品之生產或勞務之提供之標章或標示：惟其僅在交易中顯示種類，品質，數量，用途，目的，價值，原產地、生產時間或其他商品或勞務之特性者</w:t>
                        </w:r>
                        <w:proofErr w:type="gramStart"/>
                        <w:r w:rsidRPr="0011263F">
                          <w:rPr>
                            <w:rFonts w:ascii="微軟正黑體" w:eastAsia="微軟正黑體" w:hAnsi="微軟正黑體" w:cs="新細明體"/>
                            <w:kern w:val="0"/>
                            <w:szCs w:val="24"/>
                          </w:rPr>
                          <w:t>； </w:t>
                        </w:r>
                        <w:proofErr w:type="gramEnd"/>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(d) 商標已成為習慣上之日常用語或交易上善意及既成之實踐之標章或標示</w:t>
                        </w:r>
                        <w:r w:rsidRPr="0011263F">
                          <w:rPr>
                            <w:rFonts w:ascii="微軟正黑體" w:eastAsia="微軟正黑體" w:hAnsi="微軟正黑體" w:cs="新細明體"/>
                            <w:kern w:val="0"/>
                            <w:szCs w:val="24"/>
                          </w:rPr>
                          <w:br/>
                          <w:t>者；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e) 標章包括有下列情形之一者：</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spellStart"/>
                        <w:r w:rsidRPr="0011263F">
                          <w:rPr>
                            <w:rFonts w:ascii="微軟正黑體" w:eastAsia="微軟正黑體" w:hAnsi="微軟正黑體" w:cs="新細明體"/>
                            <w:kern w:val="0"/>
                            <w:szCs w:val="24"/>
                          </w:rPr>
                          <w:t>i</w:t>
                        </w:r>
                        <w:proofErr w:type="spellEnd"/>
                        <w:r w:rsidRPr="0011263F">
                          <w:rPr>
                            <w:rFonts w:ascii="微軟正黑體" w:eastAsia="微軟正黑體" w:hAnsi="微軟正黑體" w:cs="新細明體"/>
                            <w:kern w:val="0"/>
                            <w:szCs w:val="24"/>
                          </w:rPr>
                          <w:t>)為源於商品本身之性質之形狀；</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(ii) 為用以達致某種技術上結果所必要之商品之形狀；</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(iii) 為賦予商品重大價值之形狀；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(f) 商標違反公共政策或社會所接受之道德原則者；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g) 商標有欺罔公眾之特性者，如關於商品或勞務之性質、品質、或原產地等；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lastRenderedPageBreak/>
                          <w:t>.....</w:t>
                        </w:r>
                        <w:r w:rsidRPr="0011263F">
                          <w:rPr>
                            <w:rFonts w:ascii="微軟正黑體" w:eastAsia="微軟正黑體" w:hAnsi="微軟正黑體" w:cs="新細明體"/>
                            <w:kern w:val="0"/>
                            <w:szCs w:val="24"/>
                          </w:rPr>
                          <w:t>(h) 商標未經主管機關之認可且依巴黎公約第6ter條應予拒絕者；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spellStart"/>
                        <w:proofErr w:type="gramEnd"/>
                        <w:r w:rsidRPr="0011263F">
                          <w:rPr>
                            <w:rFonts w:ascii="微軟正黑體" w:eastAsia="微軟正黑體" w:hAnsi="微軟正黑體" w:cs="新細明體"/>
                            <w:kern w:val="0"/>
                            <w:szCs w:val="24"/>
                          </w:rPr>
                          <w:t>i</w:t>
                        </w:r>
                        <w:proofErr w:type="spellEnd"/>
                        <w:r w:rsidRPr="0011263F">
                          <w:rPr>
                            <w:rFonts w:ascii="微軟正黑體" w:eastAsia="微軟正黑體" w:hAnsi="微軟正黑體" w:cs="新細明體"/>
                            <w:kern w:val="0"/>
                            <w:szCs w:val="24"/>
                          </w:rPr>
                          <w:t>) 商標所包括者為巴黎公約第6ter條以外及具特定公共利益之徽章，紋章或盾形紋章者。但經適當機關同意予以註冊者，不在此限。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j) 葡萄酒之商標其包含或包括產地標示以認定葡萄酒或酒類之商標其包含或包括產地標示以認定該酒類，而該葡萄酒或酒類非產於該地者。</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83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不得註冊之事由僅存於共同體之某一部分者亦有第１項之適用。</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83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所表彰商品或勞務之商標已經使用而且具顯著性者，如經申請註冊不適用第１項(b)，(c)及(d)款。</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4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第八條、拒絕之相對事由</w:t>
                  </w:r>
                </w:p>
              </w:tc>
            </w:tr>
            <w:tr w:rsidR="0011263F" w:rsidRPr="0011263F">
              <w:trPr>
                <w:tblCellSpacing w:w="15" w:type="dxa"/>
              </w:trPr>
              <w:tc>
                <w:tcPr>
                  <w:tcW w:w="31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472" w:type="dxa"/>
                  <w:vAlign w:val="center"/>
                  <w:hideMark/>
                </w:tcPr>
                <w:tbl>
                  <w:tblPr>
                    <w:tblW w:w="5508" w:type="dxa"/>
                    <w:tblCellSpacing w:w="15" w:type="dxa"/>
                    <w:tblCellMar>
                      <w:top w:w="48" w:type="dxa"/>
                      <w:left w:w="48" w:type="dxa"/>
                      <w:bottom w:w="48" w:type="dxa"/>
                      <w:right w:w="48" w:type="dxa"/>
                    </w:tblCellMar>
                    <w:tblLook w:val="04A0" w:firstRow="1" w:lastRow="0" w:firstColumn="1" w:lastColumn="0" w:noHBand="0" w:noVBand="1"/>
                  </w:tblPr>
                  <w:tblGrid>
                    <w:gridCol w:w="541"/>
                    <w:gridCol w:w="4967"/>
                  </w:tblGrid>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下列商標經較早之商標權利人異議者，不得申請註冊：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lastRenderedPageBreak/>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a) 與較早之商標相同且其申請註冊之商品或勞務與較早受保護之商標之商品或勞務相同者；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(b) 與較早之商標相同或近似及該商標所表彰之商品或勞務與較早之商標所表彰者相同或近似而足以在該較早之商標所受保護之領域內對公眾產生混淆之虞者；所謂混淆之虞包括對該較早之商標產生聯想之虞之情形。</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第１項所謂較早之商標，其意義如下：</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(a) 下列商標，其申請註冊日期早於申請共同體商標註冊之日期，並於適當情形，考慮該等商標之優先權之請求：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spellStart"/>
                        <w:r w:rsidRPr="0011263F">
                          <w:rPr>
                            <w:rFonts w:ascii="微軟正黑體" w:eastAsia="微軟正黑體" w:hAnsi="微軟正黑體" w:cs="新細明體"/>
                            <w:kern w:val="0"/>
                            <w:szCs w:val="24"/>
                          </w:rPr>
                          <w:t>i</w:t>
                        </w:r>
                        <w:proofErr w:type="spellEnd"/>
                        <w:r w:rsidRPr="0011263F">
                          <w:rPr>
                            <w:rFonts w:ascii="微軟正黑體" w:eastAsia="微軟正黑體" w:hAnsi="微軟正黑體" w:cs="新細明體"/>
                            <w:kern w:val="0"/>
                            <w:szCs w:val="24"/>
                          </w:rPr>
                          <w:t>) 共同體商標；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(ii) 於會員國註冊之商標，或於比利時，荷蘭或盧森堡之情形，於荷比盧商標辦公室註冊之商標；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(iii) 依據國際上之安排所註冊之商標，而對於會員國有效者；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lastRenderedPageBreak/>
                          <w:t>....</w:t>
                        </w:r>
                        <w:r w:rsidRPr="0011263F">
                          <w:rPr>
                            <w:rFonts w:ascii="微軟正黑體" w:eastAsia="微軟正黑體" w:hAnsi="微軟正黑體" w:cs="新細明體"/>
                            <w:kern w:val="0"/>
                            <w:szCs w:val="24"/>
                          </w:rPr>
                          <w:t>(b) 依(a)款申請之商標，應於其後註冊者；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 xml:space="preserve">(c) 商標，於其申請註冊共同體商標之日期時，或於適當情形，就該申請註冊共同體商標為優先之請求時，在任一會員國內係屬著名者；所謂著名，依巴黎公約第6 </w:t>
                        </w:r>
                        <w:proofErr w:type="spellStart"/>
                        <w:r w:rsidRPr="0011263F">
                          <w:rPr>
                            <w:rFonts w:ascii="微軟正黑體" w:eastAsia="微軟正黑體" w:hAnsi="微軟正黑體" w:cs="新細明體"/>
                            <w:kern w:val="0"/>
                            <w:szCs w:val="24"/>
                          </w:rPr>
                          <w:t>bis</w:t>
                        </w:r>
                        <w:proofErr w:type="spellEnd"/>
                        <w:r w:rsidRPr="0011263F">
                          <w:rPr>
                            <w:rFonts w:ascii="微軟正黑體" w:eastAsia="微軟正黑體" w:hAnsi="微軟正黑體" w:cs="新細明體"/>
                            <w:kern w:val="0"/>
                            <w:szCs w:val="24"/>
                          </w:rPr>
                          <w:t>條所使用之定義。</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基於商標專用權人之異議，該商標之代理人或代表人未經專用權人之同意，以自己名義申請註冊者，不得為商標之註冊。但該代理人或代表人有正當理由者，不在此限。</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4. 基於未經註冊之商標專用權人或非僅具本地重要性之交易上使用之標章之權利人之異議，依會員國有關該標章之法律，有下列情形之</w:t>
                        </w:r>
                        <w:proofErr w:type="gramStart"/>
                        <w:r w:rsidRPr="0011263F">
                          <w:rPr>
                            <w:rFonts w:ascii="微軟正黑體" w:eastAsia="微軟正黑體" w:hAnsi="微軟正黑體" w:cs="新細明體"/>
                            <w:kern w:val="0"/>
                            <w:szCs w:val="24"/>
                          </w:rPr>
                          <w:t>一</w:t>
                        </w:r>
                        <w:proofErr w:type="gramEnd"/>
                        <w:r w:rsidRPr="0011263F">
                          <w:rPr>
                            <w:rFonts w:ascii="微軟正黑體" w:eastAsia="微軟正黑體" w:hAnsi="微軟正黑體" w:cs="新細明體"/>
                            <w:kern w:val="0"/>
                            <w:szCs w:val="24"/>
                          </w:rPr>
                          <w:t>者，不得註冊：</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a) 該標章之權利係先於申請註冊共同體商標之日期而取得，或係先於申請註冊共同體商標之優先權請求日期者；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lastRenderedPageBreak/>
                          <w:t>....</w:t>
                        </w:r>
                        <w:r w:rsidRPr="0011263F">
                          <w:rPr>
                            <w:rFonts w:ascii="微軟正黑體" w:eastAsia="微軟正黑體" w:hAnsi="微軟正黑體" w:cs="新細明體"/>
                            <w:kern w:val="0"/>
                            <w:szCs w:val="24"/>
                          </w:rPr>
                          <w:t>(b) 該標章賦予專用權人禁止使用後續商標之權利者。</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xml:space="preserve">5. </w:t>
                        </w:r>
                        <w:proofErr w:type="gramStart"/>
                        <w:r w:rsidRPr="0011263F">
                          <w:rPr>
                            <w:rFonts w:ascii="微軟正黑體" w:eastAsia="微軟正黑體" w:hAnsi="微軟正黑體" w:cs="新細明體"/>
                            <w:kern w:val="0"/>
                            <w:szCs w:val="24"/>
                          </w:rPr>
                          <w:t>此外，</w:t>
                        </w:r>
                        <w:proofErr w:type="gramEnd"/>
                        <w:r w:rsidRPr="0011263F">
                          <w:rPr>
                            <w:rFonts w:ascii="微軟正黑體" w:eastAsia="微軟正黑體" w:hAnsi="微軟正黑體" w:cs="新細明體"/>
                            <w:kern w:val="0"/>
                            <w:szCs w:val="24"/>
                          </w:rPr>
                          <w:t>基於第２項之內容，較早之商標專用權人提起異議時，該商標之申請如與較早之商標相同或近似，而其所表彰之商品或勞務與較早之商標不近似者，於較早之共同體商標之情形，該商標於共同體已有信譽，或於較早之國家商標之情形，該商標於相關會員國具有信譽，且其不當使用該已申請之商標將造成不公平之利益或對較早之商標之獨特性或信譽造成損害者，不得註冊。</w:t>
                        </w:r>
                      </w:p>
                    </w:tc>
                  </w:tr>
                </w:tbl>
                <w:p w:rsidR="0011263F" w:rsidRPr="0011263F" w:rsidRDefault="0011263F" w:rsidP="0011263F">
                  <w:pPr>
                    <w:widowControl/>
                    <w:rPr>
                      <w:rFonts w:ascii="微軟正黑體" w:eastAsia="微軟正黑體" w:hAnsi="微軟正黑體" w:cs="新細明體"/>
                      <w:kern w:val="0"/>
                      <w:szCs w:val="24"/>
                    </w:rPr>
                  </w:pPr>
                </w:p>
              </w:tc>
            </w:tr>
          </w:tbl>
          <w:p w:rsidR="0011263F" w:rsidRPr="0011263F" w:rsidRDefault="0011263F" w:rsidP="0011263F">
            <w:pPr>
              <w:widowControl/>
              <w:rPr>
                <w:rFonts w:ascii="微軟正黑體" w:eastAsia="微軟正黑體" w:hAnsi="微軟正黑體" w:cs="Times New Roman"/>
                <w:kern w:val="0"/>
                <w:szCs w:val="24"/>
              </w:rPr>
            </w:pPr>
          </w:p>
        </w:tc>
        <w:bookmarkStart w:id="0" w:name="_GoBack"/>
        <w:bookmarkEnd w:id="0"/>
      </w:tr>
      <w:tr w:rsidR="0011263F" w:rsidRPr="0011263F" w:rsidTr="0011263F">
        <w:trPr>
          <w:tblCellSpacing w:w="15" w:type="dxa"/>
        </w:trPr>
        <w:tc>
          <w:tcPr>
            <w:tcW w:w="0" w:type="auto"/>
            <w:shd w:val="clear" w:color="auto" w:fill="FFFFFF"/>
            <w:vAlign w:val="center"/>
            <w:hideMark/>
          </w:tcPr>
          <w:p w:rsidR="0011263F" w:rsidRPr="0011263F" w:rsidRDefault="0011263F" w:rsidP="0011263F">
            <w:pPr>
              <w:widowControl/>
              <w:rPr>
                <w:rFonts w:ascii="微軟正黑體" w:eastAsia="微軟正黑體" w:hAnsi="微軟正黑體" w:cs="Times New Roman"/>
                <w:kern w:val="0"/>
                <w:szCs w:val="24"/>
              </w:rPr>
            </w:pPr>
            <w:r w:rsidRPr="0011263F">
              <w:rPr>
                <w:rFonts w:ascii="微軟正黑體" w:eastAsia="微軟正黑體" w:hAnsi="微軟正黑體" w:cs="Times New Roman"/>
                <w:color w:val="0066FF"/>
                <w:kern w:val="0"/>
                <w:szCs w:val="24"/>
              </w:rPr>
              <w:lastRenderedPageBreak/>
              <w:t>第二節 共同體商標之效力</w:t>
            </w:r>
          </w:p>
        </w:tc>
      </w:tr>
      <w:tr w:rsidR="0011263F" w:rsidRPr="0011263F" w:rsidTr="0011263F">
        <w:trPr>
          <w:tblCellSpacing w:w="15" w:type="dxa"/>
        </w:trPr>
        <w:tc>
          <w:tcPr>
            <w:tcW w:w="0" w:type="auto"/>
            <w:shd w:val="clear" w:color="auto" w:fill="FFFFFF"/>
            <w:vAlign w:val="center"/>
            <w:hideMark/>
          </w:tcPr>
          <w:tbl>
            <w:tblPr>
              <w:tblW w:w="5856" w:type="dxa"/>
              <w:tblCellSpacing w:w="15" w:type="dxa"/>
              <w:tblCellMar>
                <w:top w:w="12" w:type="dxa"/>
                <w:left w:w="12" w:type="dxa"/>
                <w:bottom w:w="12" w:type="dxa"/>
                <w:right w:w="12" w:type="dxa"/>
              </w:tblCellMar>
              <w:tblLook w:val="04A0" w:firstRow="1" w:lastRow="0" w:firstColumn="1" w:lastColumn="0" w:noHBand="0" w:noVBand="1"/>
            </w:tblPr>
            <w:tblGrid>
              <w:gridCol w:w="291"/>
              <w:gridCol w:w="5565"/>
            </w:tblGrid>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29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第九條、共同體商標所賦予之權利</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292" w:type="dxa"/>
                  <w:vAlign w:val="center"/>
                  <w:hideMark/>
                </w:tcPr>
                <w:tbl>
                  <w:tblPr>
                    <w:tblW w:w="5472" w:type="dxa"/>
                    <w:tblCellSpacing w:w="15" w:type="dxa"/>
                    <w:tblCellMar>
                      <w:top w:w="48" w:type="dxa"/>
                      <w:left w:w="48" w:type="dxa"/>
                      <w:bottom w:w="48" w:type="dxa"/>
                      <w:right w:w="48" w:type="dxa"/>
                    </w:tblCellMar>
                    <w:tblLook w:val="04A0" w:firstRow="1" w:lastRow="0" w:firstColumn="1" w:lastColumn="0" w:noHBand="0" w:noVBand="1"/>
                  </w:tblPr>
                  <w:tblGrid>
                    <w:gridCol w:w="541"/>
                    <w:gridCol w:w="4931"/>
                  </w:tblGrid>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共同體商標賦予專用權人獨享之權利。專用權人有權阻止未經其同意之第三人於交易過程中，使用其商標：</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 (a) 任何標章，其與共同體商標相同者，且其所表彰之商品或勞務與該共同體商標所</w:t>
                        </w:r>
                        <w:r w:rsidRPr="0011263F">
                          <w:rPr>
                            <w:rFonts w:ascii="微軟正黑體" w:eastAsia="微軟正黑體" w:hAnsi="微軟正黑體" w:cs="新細明體"/>
                            <w:kern w:val="0"/>
                            <w:szCs w:val="24"/>
                          </w:rPr>
                          <w:lastRenderedPageBreak/>
                          <w:t>註冊者相同；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b) 任何標章，因其與共同體商標相同或近似及其與該共同體商標及標章所涵蓋之商品或勞務相同或近似，而對於公眾產生混淆之虞；所謂混淆之虞包括就該標章及商標產生聯想之虞。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(c) 任何標章，其與共同體商標相同或近似，但其所表彰之商品或勞務與該已註冊之共同體商標不相同者，而後者於共同體享有信譽且其不當使用該標章時產生不公平益或對該共同體商標之獨特性或信譽造成損害者。</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下列事項（包括但不限於），得依第１項禁止之：</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 (a) 將標章附著於商品或其包裝上；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b) 以該標章提出商品要約，進入市場或為此目的而儲存，或以該標章提出勞務要約或供給；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lastRenderedPageBreak/>
                          <w:t>.....</w:t>
                        </w:r>
                        <w:r w:rsidRPr="0011263F">
                          <w:rPr>
                            <w:rFonts w:ascii="微軟正黑體" w:eastAsia="微軟正黑體" w:hAnsi="微軟正黑體" w:cs="新細明體"/>
                            <w:kern w:val="0"/>
                            <w:szCs w:val="24"/>
                          </w:rPr>
                          <w:t>(c) 以該標章進口出口商品；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(d) 使用標章於商業文書或廣告；</w:t>
                        </w:r>
                      </w:p>
                    </w:tc>
                  </w:tr>
                  <w:tr w:rsidR="0011263F" w:rsidRPr="0011263F">
                    <w:trPr>
                      <w:tblCellSpacing w:w="15" w:type="dxa"/>
                    </w:trPr>
                    <w:tc>
                      <w:tcPr>
                        <w:tcW w:w="48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共同體商標所賦予之權利，於商標註冊公告之日起，優於第三人（之主張）。但共同體商標申請公告日之後所生之（請求）事項，如為商標註冊公告後所禁止者，得予以合理補償。受理案件之法院非於註冊公告後，不得就事實部份為裁判。</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29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第十條、字典內對共同體商標之重製</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292"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578"/>
                    <w:gridCol w:w="4834"/>
                  </w:tblGrid>
                  <w:tr w:rsidR="0011263F" w:rsidRPr="0011263F">
                    <w:trPr>
                      <w:tblCellSpacing w:w="15" w:type="dxa"/>
                    </w:trPr>
                    <w:tc>
                      <w:tcPr>
                        <w:tcW w:w="5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4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如共同體</w:t>
                        </w:r>
                        <w:proofErr w:type="gramStart"/>
                        <w:r w:rsidRPr="0011263F">
                          <w:rPr>
                            <w:rFonts w:ascii="微軟正黑體" w:eastAsia="微軟正黑體" w:hAnsi="微軟正黑體" w:cs="新細明體"/>
                            <w:kern w:val="0"/>
                            <w:szCs w:val="24"/>
                          </w:rPr>
                          <w:t>商標係重製</w:t>
                        </w:r>
                        <w:proofErr w:type="gramEnd"/>
                        <w:r w:rsidRPr="0011263F">
                          <w:rPr>
                            <w:rFonts w:ascii="微軟正黑體" w:eastAsia="微軟正黑體" w:hAnsi="微軟正黑體" w:cs="新細明體"/>
                            <w:kern w:val="0"/>
                            <w:szCs w:val="24"/>
                          </w:rPr>
                          <w:t>於字典</w:t>
                        </w:r>
                        <w:proofErr w:type="gramStart"/>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百科全書或類似之參考著作，並予人為該註冊商標所表彰之商品或勞務之原始名稱之印象者，該著作之發行人，基於共同體商標專用權人之請求，應確保於最近發行之版本上註明其為已註冊之商標。</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29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第十一條、對於使用以代理人或代表人名義註冊之共同體商標之禁止</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292"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578"/>
                    <w:gridCol w:w="4834"/>
                  </w:tblGrid>
                  <w:tr w:rsidR="0011263F" w:rsidRPr="0011263F">
                    <w:trPr>
                      <w:tblCellSpacing w:w="15" w:type="dxa"/>
                    </w:trPr>
                    <w:tc>
                      <w:tcPr>
                        <w:tcW w:w="5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4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共同體商標係以商標專用權人之代理人或代表人之名義註冊者，於未經專用權人授權之情形，專用權人有權反對其代理人或代表人使用其商標。但代理人或代表人有正當理由者，不在此限。</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29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第十二條、共同體商標效力之限制</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292"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578"/>
                    <w:gridCol w:w="4834"/>
                  </w:tblGrid>
                  <w:tr w:rsidR="0011263F" w:rsidRPr="0011263F">
                    <w:trPr>
                      <w:tblCellSpacing w:w="15" w:type="dxa"/>
                    </w:trPr>
                    <w:tc>
                      <w:tcPr>
                        <w:tcW w:w="5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4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共同體商標之專用權人不得於交易過程中，禁止第三人使用其商標： </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a) 其本名或地址；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(b) 關於種類，品質，數量，目的，價值，原產地，商品之生產時間或勞務之提供時間或商品或勞務之其他特性之標示； </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(c) 該商標有必要標明其產品或勞務之目的，尤其如配件或零件等， 但前述所列以使用人依據工商業誠實慣例使用該等商標為限。</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29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第十三條、共同體商標所賦予之權利之耗盡</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292"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578"/>
                    <w:gridCol w:w="4834"/>
                  </w:tblGrid>
                  <w:tr w:rsidR="0011263F" w:rsidRPr="0011263F">
                    <w:trPr>
                      <w:tblCellSpacing w:w="15" w:type="dxa"/>
                    </w:trPr>
                    <w:tc>
                      <w:tcPr>
                        <w:tcW w:w="5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4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共同體商標專用權人不得禁止其本商標使用於由其人或經其同意而進入共同體市場之商品。</w:t>
                        </w:r>
                      </w:p>
                    </w:tc>
                  </w:tr>
                  <w:tr w:rsidR="0011263F" w:rsidRPr="0011263F">
                    <w:trPr>
                      <w:tblCellSpacing w:w="15" w:type="dxa"/>
                    </w:trPr>
                    <w:tc>
                      <w:tcPr>
                        <w:tcW w:w="5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40"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第１項之規定於專用權人具有法定事由反對商品之繼續商品化，尤其是該商品之情況於進入市場後已改變或損害時，不適用之。</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29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第十四條、有關國內法侵害部分之補充申請</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292" w:type="dxa"/>
                  <w:vAlign w:val="center"/>
                  <w:hideMark/>
                </w:tcPr>
                <w:tbl>
                  <w:tblPr>
                    <w:tblW w:w="5496" w:type="dxa"/>
                    <w:tblCellSpacing w:w="15" w:type="dxa"/>
                    <w:tblCellMar>
                      <w:top w:w="48" w:type="dxa"/>
                      <w:left w:w="48" w:type="dxa"/>
                      <w:bottom w:w="48" w:type="dxa"/>
                      <w:right w:w="48" w:type="dxa"/>
                    </w:tblCellMar>
                    <w:tblLook w:val="04A0" w:firstRow="1" w:lastRow="0" w:firstColumn="1" w:lastColumn="0" w:noHBand="0" w:noVBand="1"/>
                  </w:tblPr>
                  <w:tblGrid>
                    <w:gridCol w:w="566"/>
                    <w:gridCol w:w="4930"/>
                  </w:tblGrid>
                  <w:tr w:rsidR="0011263F" w:rsidRPr="0011263F">
                    <w:trPr>
                      <w:tblCellSpacing w:w="15" w:type="dxa"/>
                    </w:trPr>
                    <w:tc>
                      <w:tcPr>
                        <w:tcW w:w="50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共同體商標之效力依本條例之規定</w:t>
                        </w:r>
                        <w:proofErr w:type="gramStart"/>
                        <w:r w:rsidRPr="0011263F">
                          <w:rPr>
                            <w:rFonts w:ascii="微軟正黑體" w:eastAsia="微軟正黑體" w:hAnsi="微軟正黑體" w:cs="新細明體"/>
                            <w:kern w:val="0"/>
                            <w:szCs w:val="24"/>
                          </w:rPr>
                          <w:t>定</w:t>
                        </w:r>
                        <w:proofErr w:type="gramEnd"/>
                        <w:r w:rsidRPr="0011263F">
                          <w:rPr>
                            <w:rFonts w:ascii="微軟正黑體" w:eastAsia="微軟正黑體" w:hAnsi="微軟正黑體" w:cs="新細明體"/>
                            <w:kern w:val="0"/>
                            <w:szCs w:val="24"/>
                          </w:rPr>
                          <w:t>之。其他方面，共同體商標之侵害應依第十章之規定依國內法關於商標侵害之規定處斷。</w:t>
                        </w:r>
                      </w:p>
                    </w:tc>
                  </w:tr>
                  <w:tr w:rsidR="0011263F" w:rsidRPr="0011263F">
                    <w:trPr>
                      <w:tblCellSpacing w:w="15" w:type="dxa"/>
                    </w:trPr>
                    <w:tc>
                      <w:tcPr>
                        <w:tcW w:w="50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本規則之規定不得阻止依會員國法律，就共同體商標提起尤其係關於民事責任及不公平競爭之訴訟。</w:t>
                        </w:r>
                      </w:p>
                    </w:tc>
                  </w:tr>
                  <w:tr w:rsidR="0011263F" w:rsidRPr="0011263F">
                    <w:trPr>
                      <w:tblCellSpacing w:w="15" w:type="dxa"/>
                    </w:trPr>
                    <w:tc>
                      <w:tcPr>
                        <w:tcW w:w="50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應適用之程序規則依第十章之規定</w:t>
                        </w:r>
                        <w:proofErr w:type="gramStart"/>
                        <w:r w:rsidRPr="0011263F">
                          <w:rPr>
                            <w:rFonts w:ascii="微軟正黑體" w:eastAsia="微軟正黑體" w:hAnsi="微軟正黑體" w:cs="新細明體"/>
                            <w:kern w:val="0"/>
                            <w:szCs w:val="24"/>
                          </w:rPr>
                          <w:t>定</w:t>
                        </w:r>
                        <w:proofErr w:type="gramEnd"/>
                        <w:r w:rsidRPr="0011263F">
                          <w:rPr>
                            <w:rFonts w:ascii="微軟正黑體" w:eastAsia="微軟正黑體" w:hAnsi="微軟正黑體" w:cs="新細明體"/>
                            <w:kern w:val="0"/>
                            <w:szCs w:val="24"/>
                          </w:rPr>
                          <w:t>之。</w:t>
                        </w:r>
                      </w:p>
                    </w:tc>
                  </w:tr>
                </w:tbl>
                <w:p w:rsidR="0011263F" w:rsidRPr="0011263F" w:rsidRDefault="0011263F" w:rsidP="0011263F">
                  <w:pPr>
                    <w:widowControl/>
                    <w:rPr>
                      <w:rFonts w:ascii="微軟正黑體" w:eastAsia="微軟正黑體" w:hAnsi="微軟正黑體" w:cs="新細明體"/>
                      <w:kern w:val="0"/>
                      <w:szCs w:val="24"/>
                    </w:rPr>
                  </w:pPr>
                </w:p>
              </w:tc>
            </w:tr>
          </w:tbl>
          <w:p w:rsidR="0011263F" w:rsidRPr="0011263F" w:rsidRDefault="0011263F" w:rsidP="0011263F">
            <w:pPr>
              <w:widowControl/>
              <w:rPr>
                <w:rFonts w:ascii="微軟正黑體" w:eastAsia="微軟正黑體" w:hAnsi="微軟正黑體" w:cs="Times New Roman"/>
                <w:kern w:val="0"/>
                <w:szCs w:val="24"/>
              </w:rPr>
            </w:pPr>
          </w:p>
        </w:tc>
      </w:tr>
      <w:tr w:rsidR="0011263F" w:rsidRPr="0011263F" w:rsidTr="0011263F">
        <w:trPr>
          <w:tblCellSpacing w:w="15" w:type="dxa"/>
        </w:trPr>
        <w:tc>
          <w:tcPr>
            <w:tcW w:w="0" w:type="auto"/>
            <w:shd w:val="clear" w:color="auto" w:fill="FFFFFF"/>
            <w:vAlign w:val="center"/>
            <w:hideMark/>
          </w:tcPr>
          <w:p w:rsidR="0011263F" w:rsidRPr="0011263F" w:rsidRDefault="0011263F" w:rsidP="0011263F">
            <w:pPr>
              <w:widowControl/>
              <w:rPr>
                <w:rFonts w:ascii="微軟正黑體" w:eastAsia="微軟正黑體" w:hAnsi="微軟正黑體" w:cs="Times New Roman"/>
                <w:kern w:val="0"/>
                <w:szCs w:val="24"/>
              </w:rPr>
            </w:pPr>
            <w:r w:rsidRPr="0011263F">
              <w:rPr>
                <w:rFonts w:ascii="微軟正黑體" w:eastAsia="微軟正黑體" w:hAnsi="微軟正黑體" w:cs="Times New Roman"/>
                <w:color w:val="0066FF"/>
                <w:kern w:val="0"/>
                <w:szCs w:val="24"/>
              </w:rPr>
              <w:lastRenderedPageBreak/>
              <w:t>第三節 共同體商標之使用</w:t>
            </w:r>
          </w:p>
        </w:tc>
      </w:tr>
      <w:tr w:rsidR="0011263F" w:rsidRPr="0011263F" w:rsidTr="0011263F">
        <w:trPr>
          <w:tblCellSpacing w:w="15" w:type="dxa"/>
        </w:trPr>
        <w:tc>
          <w:tcPr>
            <w:tcW w:w="0" w:type="auto"/>
            <w:shd w:val="clear" w:color="auto" w:fill="FFFFFF"/>
            <w:vAlign w:val="center"/>
            <w:hideMark/>
          </w:tcPr>
          <w:tbl>
            <w:tblPr>
              <w:tblW w:w="5880" w:type="dxa"/>
              <w:tblCellSpacing w:w="15" w:type="dxa"/>
              <w:tblCellMar>
                <w:top w:w="12" w:type="dxa"/>
                <w:left w:w="12" w:type="dxa"/>
                <w:bottom w:w="12" w:type="dxa"/>
                <w:right w:w="12" w:type="dxa"/>
              </w:tblCellMar>
              <w:tblLook w:val="04A0" w:firstRow="1" w:lastRow="0" w:firstColumn="1" w:lastColumn="0" w:noHBand="0" w:noVBand="1"/>
            </w:tblPr>
            <w:tblGrid>
              <w:gridCol w:w="399"/>
              <w:gridCol w:w="5481"/>
            </w:tblGrid>
            <w:tr w:rsidR="0011263F" w:rsidRPr="0011263F">
              <w:trPr>
                <w:tblCellSpacing w:w="15" w:type="dxa"/>
              </w:trPr>
              <w:tc>
                <w:tcPr>
                  <w:tcW w:w="43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第十五條、共同體商標之使用</w:t>
                  </w:r>
                </w:p>
              </w:tc>
            </w:tr>
            <w:tr w:rsidR="0011263F" w:rsidRPr="0011263F">
              <w:trPr>
                <w:tblCellSpacing w:w="15" w:type="dxa"/>
              </w:trPr>
              <w:tc>
                <w:tcPr>
                  <w:tcW w:w="43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62"/>
                    <w:gridCol w:w="4950"/>
                  </w:tblGrid>
                  <w:tr w:rsidR="0011263F" w:rsidRPr="0011263F">
                    <w:trPr>
                      <w:tblCellSpacing w:w="15" w:type="dxa"/>
                    </w:trPr>
                    <w:tc>
                      <w:tcPr>
                        <w:tcW w:w="39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65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除本規則第十七至第二十四條另有規定外，共同體商標作為財產之客體應以其整體為之，且及於歐市之全境，且依下列共同體商標之註冊簿，為會員國內註冊之國家商標：</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a) 專用權人於相關日期有處所或住所者；或</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(b) 於(a)款不適用之情形，以專用權人於相關日期有</w:t>
                        </w:r>
                        <w:proofErr w:type="gramStart"/>
                        <w:r w:rsidRPr="0011263F">
                          <w:rPr>
                            <w:rFonts w:ascii="微軟正黑體" w:eastAsia="微軟正黑體" w:hAnsi="微軟正黑體" w:cs="新細明體"/>
                            <w:kern w:val="0"/>
                            <w:szCs w:val="24"/>
                          </w:rPr>
                          <w:t>營業所者</w:t>
                        </w:r>
                        <w:proofErr w:type="gramEnd"/>
                        <w:r w:rsidRPr="0011263F">
                          <w:rPr>
                            <w:rFonts w:ascii="微軟正黑體" w:eastAsia="微軟正黑體" w:hAnsi="微軟正黑體" w:cs="新細明體"/>
                            <w:kern w:val="0"/>
                            <w:szCs w:val="24"/>
                          </w:rPr>
                          <w:t>。</w:t>
                        </w:r>
                      </w:p>
                    </w:tc>
                  </w:tr>
                  <w:tr w:rsidR="0011263F" w:rsidRPr="0011263F">
                    <w:trPr>
                      <w:tblCellSpacing w:w="15" w:type="dxa"/>
                    </w:trPr>
                    <w:tc>
                      <w:tcPr>
                        <w:tcW w:w="39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65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下列屬於第１項所定使用之意義：</w:t>
                        </w:r>
                        <w:r w:rsidRPr="0011263F">
                          <w:rPr>
                            <w:rFonts w:ascii="微軟正黑體" w:eastAsia="微軟正黑體" w:hAnsi="微軟正黑體" w:cs="新細明體"/>
                            <w:kern w:val="0"/>
                            <w:szCs w:val="24"/>
                          </w:rPr>
                          <w:br/>
                        </w:r>
                        <w:proofErr w:type="gramStart"/>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a) 共同體商標之使用，其方式雖異但不變更該商標註冊所定方式之特性者；</w:t>
                        </w:r>
                        <w:r w:rsidRPr="0011263F">
                          <w:rPr>
                            <w:rFonts w:ascii="微軟正黑體" w:eastAsia="微軟正黑體" w:hAnsi="微軟正黑體" w:cs="新細明體"/>
                            <w:kern w:val="0"/>
                            <w:szCs w:val="24"/>
                          </w:rPr>
                          <w:br/>
                        </w:r>
                        <w:r w:rsidRPr="0011263F">
                          <w:rPr>
                            <w:rFonts w:ascii="微軟正黑體" w:eastAsia="微軟正黑體" w:hAnsi="微軟正黑體" w:cs="新細明體"/>
                            <w:color w:val="FFFFFF"/>
                            <w:kern w:val="0"/>
                            <w:szCs w:val="24"/>
                          </w:rPr>
                          <w:t>.....</w:t>
                        </w:r>
                        <w:r w:rsidRPr="0011263F">
                          <w:rPr>
                            <w:rFonts w:ascii="微軟正黑體" w:eastAsia="微軟正黑體" w:hAnsi="微軟正黑體" w:cs="新細明體"/>
                            <w:kern w:val="0"/>
                            <w:szCs w:val="24"/>
                          </w:rPr>
                          <w:t>(b) 於歐市將共同體商標附著於商品或其包裝以供出口為目的者；</w:t>
                        </w:r>
                      </w:p>
                    </w:tc>
                  </w:tr>
                  <w:tr w:rsidR="0011263F" w:rsidRPr="0011263F">
                    <w:trPr>
                      <w:tblCellSpacing w:w="15" w:type="dxa"/>
                    </w:trPr>
                    <w:tc>
                      <w:tcPr>
                        <w:tcW w:w="39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65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共同體商標之使用經專用權人同意者，應視為構成專用權人之使用</w:t>
                        </w:r>
                      </w:p>
                    </w:tc>
                  </w:tr>
                </w:tbl>
                <w:p w:rsidR="0011263F" w:rsidRPr="0011263F" w:rsidRDefault="0011263F" w:rsidP="0011263F">
                  <w:pPr>
                    <w:widowControl/>
                    <w:rPr>
                      <w:rFonts w:ascii="微軟正黑體" w:eastAsia="微軟正黑體" w:hAnsi="微軟正黑體" w:cs="新細明體"/>
                      <w:kern w:val="0"/>
                      <w:szCs w:val="24"/>
                    </w:rPr>
                  </w:pPr>
                </w:p>
              </w:tc>
            </w:tr>
          </w:tbl>
          <w:p w:rsidR="0011263F" w:rsidRPr="0011263F" w:rsidRDefault="0011263F" w:rsidP="0011263F">
            <w:pPr>
              <w:widowControl/>
              <w:rPr>
                <w:rFonts w:ascii="微軟正黑體" w:eastAsia="微軟正黑體" w:hAnsi="微軟正黑體" w:cs="Times New Roman"/>
                <w:kern w:val="0"/>
                <w:szCs w:val="24"/>
              </w:rPr>
            </w:pPr>
          </w:p>
        </w:tc>
      </w:tr>
      <w:tr w:rsidR="0011263F" w:rsidRPr="0011263F" w:rsidTr="0011263F">
        <w:trPr>
          <w:tblCellSpacing w:w="15" w:type="dxa"/>
        </w:trPr>
        <w:tc>
          <w:tcPr>
            <w:tcW w:w="0" w:type="auto"/>
            <w:shd w:val="clear" w:color="auto" w:fill="FFFFFF"/>
            <w:vAlign w:val="center"/>
            <w:hideMark/>
          </w:tcPr>
          <w:p w:rsidR="0011263F" w:rsidRPr="0011263F" w:rsidRDefault="0011263F" w:rsidP="0011263F">
            <w:pPr>
              <w:widowControl/>
              <w:rPr>
                <w:rFonts w:ascii="微軟正黑體" w:eastAsia="微軟正黑體" w:hAnsi="微軟正黑體" w:cs="Times New Roman"/>
                <w:kern w:val="0"/>
                <w:szCs w:val="24"/>
              </w:rPr>
            </w:pPr>
            <w:r w:rsidRPr="0011263F">
              <w:rPr>
                <w:rFonts w:ascii="微軟正黑體" w:eastAsia="微軟正黑體" w:hAnsi="微軟正黑體" w:cs="Times New Roman"/>
                <w:color w:val="0066FF"/>
                <w:kern w:val="0"/>
                <w:szCs w:val="24"/>
              </w:rPr>
              <w:lastRenderedPageBreak/>
              <w:t>第四節 作為財產客體之共同體商標</w:t>
            </w:r>
          </w:p>
        </w:tc>
      </w:tr>
      <w:tr w:rsidR="0011263F" w:rsidRPr="0011263F" w:rsidTr="0011263F">
        <w:trPr>
          <w:tblCellSpacing w:w="15" w:type="dxa"/>
        </w:trPr>
        <w:tc>
          <w:tcPr>
            <w:tcW w:w="0" w:type="auto"/>
            <w:shd w:val="clear" w:color="auto" w:fill="FFFFFF"/>
            <w:vAlign w:val="center"/>
            <w:hideMark/>
          </w:tcPr>
          <w:tbl>
            <w:tblPr>
              <w:tblW w:w="5892" w:type="dxa"/>
              <w:tblCellSpacing w:w="15" w:type="dxa"/>
              <w:tblCellMar>
                <w:top w:w="12" w:type="dxa"/>
                <w:left w:w="12" w:type="dxa"/>
                <w:bottom w:w="12" w:type="dxa"/>
                <w:right w:w="12" w:type="dxa"/>
              </w:tblCellMar>
              <w:tblLook w:val="04A0" w:firstRow="1" w:lastRow="0" w:firstColumn="1" w:lastColumn="0" w:noHBand="0" w:noVBand="1"/>
            </w:tblPr>
            <w:tblGrid>
              <w:gridCol w:w="411"/>
              <w:gridCol w:w="5481"/>
            </w:tblGrid>
            <w:tr w:rsidR="0011263F" w:rsidRPr="0011263F">
              <w:trPr>
                <w:trHeight w:val="156"/>
                <w:tblCellSpacing w:w="15" w:type="dxa"/>
              </w:trPr>
              <w:tc>
                <w:tcPr>
                  <w:tcW w:w="444"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第十六條、以共同體商標作為國家商標之處理</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42"/>
                    <w:gridCol w:w="4970"/>
                  </w:tblGrid>
                  <w:tr w:rsidR="0011263F" w:rsidRPr="0011263F">
                    <w:trPr>
                      <w:tblCellSpacing w:w="15" w:type="dxa"/>
                    </w:trPr>
                    <w:tc>
                      <w:tcPr>
                        <w:tcW w:w="38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 除本規則第十七至第二十四條另有規定外，共同體商標作為財產之客體應以其整體為之，且及於歐市之全境，且依下列共同體商標之註冊簿，為會員國內註冊之國家商標：</w:t>
                        </w:r>
                        <w:r w:rsidRPr="0011263F">
                          <w:rPr>
                            <w:rFonts w:ascii="微軟正黑體" w:eastAsia="微軟正黑體" w:hAnsi="微軟正黑體" w:cs="新細明體"/>
                            <w:kern w:val="0"/>
                            <w:szCs w:val="24"/>
                          </w:rPr>
                          <w:br/>
                          <w:t>(a) 專用權人於相關日期有處所或住所者；或</w:t>
                        </w:r>
                        <w:r w:rsidRPr="0011263F">
                          <w:rPr>
                            <w:rFonts w:ascii="微軟正黑體" w:eastAsia="微軟正黑體" w:hAnsi="微軟正黑體" w:cs="新細明體"/>
                            <w:kern w:val="0"/>
                            <w:szCs w:val="24"/>
                          </w:rPr>
                          <w:br/>
                          <w:t>(b) 於(a)款不適用之情形，以專用權人於相關日期有</w:t>
                        </w:r>
                        <w:proofErr w:type="gramStart"/>
                        <w:r w:rsidRPr="0011263F">
                          <w:rPr>
                            <w:rFonts w:ascii="微軟正黑體" w:eastAsia="微軟正黑體" w:hAnsi="微軟正黑體" w:cs="新細明體"/>
                            <w:kern w:val="0"/>
                            <w:szCs w:val="24"/>
                          </w:rPr>
                          <w:t>營業所者</w:t>
                        </w:r>
                        <w:proofErr w:type="gramEnd"/>
                        <w:r w:rsidRPr="0011263F">
                          <w:rPr>
                            <w:rFonts w:ascii="微軟正黑體" w:eastAsia="微軟正黑體" w:hAnsi="微軟正黑體" w:cs="新細明體"/>
                            <w:kern w:val="0"/>
                            <w:szCs w:val="24"/>
                          </w:rPr>
                          <w:t>。</w:t>
                        </w:r>
                      </w:p>
                    </w:tc>
                  </w:tr>
                  <w:tr w:rsidR="0011263F" w:rsidRPr="0011263F">
                    <w:trPr>
                      <w:tblCellSpacing w:w="15" w:type="dxa"/>
                    </w:trPr>
                    <w:tc>
                      <w:tcPr>
                        <w:tcW w:w="38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於第１項未規定之情形，該項所稱之會員國係指會員國（商標）官廳之所在地。</w:t>
                        </w:r>
                      </w:p>
                    </w:tc>
                  </w:tr>
                  <w:tr w:rsidR="0011263F" w:rsidRPr="0011263F">
                    <w:trPr>
                      <w:tblCellSpacing w:w="15" w:type="dxa"/>
                    </w:trPr>
                    <w:tc>
                      <w:tcPr>
                        <w:tcW w:w="38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共同體商標之</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錄記載二人以上為共同專用權人時，第１項應適用於第一次提及之共同專用權人。否則，其應適用於其後依順序提及之共同專用權人。第１項不用適用於所有共同專用權人時，應適用第２項之規定。</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第十七條、轉讓</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30"/>
                    <w:gridCol w:w="4982"/>
                  </w:tblGrid>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1.共同體商標，就其註冊所表彰之商品或勞務之全部或一部，得與其事業分離而移轉。</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事業之全部移轉應包括共同體商標之移轉，但依移轉所應適用之法律，有相反之協議或依客觀環境顯應另為安排者除外。本項規定適用於事業移轉之契約義務。</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在不影響第２項規定之情形下，共同體商標之讓與應以書面為之，且應由契約當事人簽名，但以判決為之者除外；違反本項規定者，</w:t>
                        </w:r>
                        <w:proofErr w:type="gramStart"/>
                        <w:r w:rsidRPr="0011263F">
                          <w:rPr>
                            <w:rFonts w:ascii="微軟正黑體" w:eastAsia="微軟正黑體" w:hAnsi="微軟正黑體" w:cs="新細明體"/>
                            <w:kern w:val="0"/>
                            <w:szCs w:val="24"/>
                          </w:rPr>
                          <w:t>其讓與</w:t>
                        </w:r>
                        <w:proofErr w:type="gramEnd"/>
                        <w:r w:rsidRPr="0011263F">
                          <w:rPr>
                            <w:rFonts w:ascii="微軟正黑體" w:eastAsia="微軟正黑體" w:hAnsi="微軟正黑體" w:cs="新細明體"/>
                            <w:kern w:val="0"/>
                            <w:szCs w:val="24"/>
                          </w:rPr>
                          <w:t>無效。</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4. 共同體商標之移轉，如從移轉之文書觀察，將明顯地對公眾就該商標註冊</w:t>
                        </w:r>
                        <w:proofErr w:type="gramStart"/>
                        <w:r w:rsidRPr="0011263F">
                          <w:rPr>
                            <w:rFonts w:ascii="微軟正黑體" w:eastAsia="微軟正黑體" w:hAnsi="微軟正黑體" w:cs="新細明體"/>
                            <w:kern w:val="0"/>
                            <w:szCs w:val="24"/>
                          </w:rPr>
                          <w:t>所彰之</w:t>
                        </w:r>
                        <w:proofErr w:type="gramEnd"/>
                        <w:r w:rsidRPr="0011263F">
                          <w:rPr>
                            <w:rFonts w:ascii="微軟正黑體" w:eastAsia="微軟正黑體" w:hAnsi="微軟正黑體" w:cs="新細明體"/>
                            <w:kern w:val="0"/>
                            <w:szCs w:val="24"/>
                          </w:rPr>
                          <w:t>商品或勞務性質</w:t>
                        </w:r>
                        <w:proofErr w:type="gramStart"/>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品質或原產地造成誤導者，主管官廳應不准其註冊，但受讓人同意就該共同體商標所表彰之商品或勞務予以限定註冊，而不致產生誤導者除外。</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5. 基於一方當事人之請求，移轉應</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錄於註冊簿，並予公告。</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6. 商標之移轉，非</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錄於</w:t>
                        </w:r>
                        <w:proofErr w:type="gramStart"/>
                        <w:r w:rsidRPr="0011263F">
                          <w:rPr>
                            <w:rFonts w:ascii="微軟正黑體" w:eastAsia="微軟正黑體" w:hAnsi="微軟正黑體" w:cs="新細明體"/>
                            <w:kern w:val="0"/>
                            <w:szCs w:val="24"/>
                          </w:rPr>
                          <w:t>註冊簿後</w:t>
                        </w:r>
                        <w:proofErr w:type="gramEnd"/>
                        <w:r w:rsidRPr="0011263F">
                          <w:rPr>
                            <w:rFonts w:ascii="微軟正黑體" w:eastAsia="微軟正黑體" w:hAnsi="微軟正黑體" w:cs="新細明體"/>
                            <w:kern w:val="0"/>
                            <w:szCs w:val="24"/>
                          </w:rPr>
                          <w:t>，權利之受讓人不得行使共同體商標因註冊所生之權利。</w:t>
                        </w:r>
                      </w:p>
                    </w:tc>
                  </w:tr>
                  <w:tr w:rsidR="0011263F" w:rsidRPr="0011263F">
                    <w:trPr>
                      <w:trHeight w:val="420"/>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7. 就應遵守官廳期間之事項，權利之受讓人於官廳收受請求移轉之註冊後，得提出相當之陳述。</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8. 依第七十七條應通知共同體商標專用權人之文書應以註冊為專用權人之人為 收受者。</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Times New Roman"/>
                      <w:kern w:val="0"/>
                      <w:szCs w:val="24"/>
                    </w:rPr>
                  </w:pP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第十八條、以代理人名義註冊商標之轉讓</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42"/>
                    <w:gridCol w:w="4970"/>
                  </w:tblGrid>
                  <w:tr w:rsidR="0011263F" w:rsidRPr="0011263F">
                    <w:trPr>
                      <w:tblCellSpacing w:w="15" w:type="dxa"/>
                    </w:trPr>
                    <w:tc>
                      <w:tcPr>
                        <w:tcW w:w="38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6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共同體商標係以商標專用權人之代理人或代表人註冊者，於未經專用人授之情形，後者有權請求為對其有利之轉讓之註冊，但代理人或代表人有正當理由權者，不在此限</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第十九條、物權</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30"/>
                    <w:gridCol w:w="4982"/>
                  </w:tblGrid>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1.共同體商標得獨立於事業之外，作為擔保或為物權之標的。</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依一方當事人之請求，第１項之權利應</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錄於註冊簿，並予公告。</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第二十條、執行之實施</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30"/>
                    <w:gridCol w:w="4982"/>
                  </w:tblGrid>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1.共同體商標得被強制執行。</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關於共同體商標之強制執行程序，依第十六條所定之會員國法院及機關具有專屬管轄權。</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依一方當事人之請求，強制執行應</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錄於註冊簿，並予公告。</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第二十一條、破產或其他類似程序</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30"/>
                    <w:gridCol w:w="4982"/>
                  </w:tblGrid>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1.於會員國就此事項之共同規則生效以前，關於共同體商標之破產或其他程序之管轄（會員）國應於該程序依國內法或應適用之公約所定義之第一次提起之地之會員國為之。</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共同體商標涉及破產或其他程序時，基於國家主管機關之請求，其效力應記載於註冊簿，並予公告。</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第二十二條、授權</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30"/>
                    <w:gridCol w:w="4982"/>
                  </w:tblGrid>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1.共同體商標得於歐市境內之全部或一部就其所表彰之商品或勞務之全部或一部授權予他人。授權得為專屬或非專屬性授權。</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共同體商標之專用權人得對違反授權契約關於</w:t>
                        </w:r>
                        <w:proofErr w:type="gramStart"/>
                        <w:r w:rsidRPr="0011263F">
                          <w:rPr>
                            <w:rFonts w:ascii="微軟正黑體" w:eastAsia="微軟正黑體" w:hAnsi="微軟正黑體" w:cs="新細明體"/>
                            <w:kern w:val="0"/>
                            <w:szCs w:val="24"/>
                          </w:rPr>
                          <w:t>期間，</w:t>
                        </w:r>
                        <w:proofErr w:type="gramEnd"/>
                        <w:r w:rsidRPr="0011263F">
                          <w:rPr>
                            <w:rFonts w:ascii="微軟正黑體" w:eastAsia="微軟正黑體" w:hAnsi="微軟正黑體" w:cs="新細明體"/>
                            <w:kern w:val="0"/>
                            <w:szCs w:val="24"/>
                          </w:rPr>
                          <w:t>註冊所包括關於使用之方式，授權所給予之商品或勞務之範圍，得附著商標之區域或商品製造之品質或勞務之品質，對被授權人行使商標所賦予之權利。</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於不影響授權契約內容之情形下，經專用權人之同意，被授權人得提起侵害共同體商標之程序。但商標專用權人受正式通知而</w:t>
                        </w:r>
                        <w:proofErr w:type="gramStart"/>
                        <w:r w:rsidRPr="0011263F">
                          <w:rPr>
                            <w:rFonts w:ascii="微軟正黑體" w:eastAsia="微軟正黑體" w:hAnsi="微軟正黑體" w:cs="新細明體"/>
                            <w:kern w:val="0"/>
                            <w:szCs w:val="24"/>
                          </w:rPr>
                          <w:t>不</w:t>
                        </w:r>
                        <w:proofErr w:type="gramEnd"/>
                        <w:r w:rsidRPr="0011263F">
                          <w:rPr>
                            <w:rFonts w:ascii="微軟正黑體" w:eastAsia="微軟正黑體" w:hAnsi="微軟正黑體" w:cs="新細明體"/>
                            <w:kern w:val="0"/>
                            <w:szCs w:val="24"/>
                          </w:rPr>
                          <w:t>於適當期間內提起侵害之程序時，專屬授權之持有人得自行提起。</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4. 被授權人，基於取得損害賠償之目的，有權介入共同體商標專用權人所提起之侵害程序。</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5. 依一方當事人之請求，共同體商標授權之給予或移轉應</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錄於註冊簿，並予公告。</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第二十三條、對第三人之效力</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30"/>
                    <w:gridCol w:w="4982"/>
                  </w:tblGrid>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1.第十七條</w:t>
                        </w:r>
                        <w:proofErr w:type="gramStart"/>
                        <w:r w:rsidRPr="0011263F">
                          <w:rPr>
                            <w:rFonts w:ascii="微軟正黑體" w:eastAsia="微軟正黑體" w:hAnsi="微軟正黑體" w:cs="新細明體"/>
                            <w:kern w:val="0"/>
                            <w:szCs w:val="24"/>
                          </w:rPr>
                          <w:t>﹐</w:t>
                        </w:r>
                        <w:proofErr w:type="gramEnd"/>
                        <w:r w:rsidRPr="0011263F">
                          <w:rPr>
                            <w:rFonts w:ascii="微軟正黑體" w:eastAsia="微軟正黑體" w:hAnsi="微軟正黑體" w:cs="新細明體"/>
                            <w:kern w:val="0"/>
                            <w:szCs w:val="24"/>
                          </w:rPr>
                          <w:t>第十九條及第二十二條關於共同體商標之法律行為僅於</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錄於</w:t>
                        </w:r>
                        <w:proofErr w:type="gramStart"/>
                        <w:r w:rsidRPr="0011263F">
                          <w:rPr>
                            <w:rFonts w:ascii="微軟正黑體" w:eastAsia="微軟正黑體" w:hAnsi="微軟正黑體" w:cs="新細明體"/>
                            <w:kern w:val="0"/>
                            <w:szCs w:val="24"/>
                          </w:rPr>
                          <w:t>註冊簿後</w:t>
                        </w:r>
                        <w:proofErr w:type="gramEnd"/>
                        <w:r w:rsidRPr="0011263F">
                          <w:rPr>
                            <w:rFonts w:ascii="微軟正黑體" w:eastAsia="微軟正黑體" w:hAnsi="微軟正黑體" w:cs="新細明體"/>
                            <w:kern w:val="0"/>
                            <w:szCs w:val="24"/>
                          </w:rPr>
                          <w:t>，始對會員國境內之第三人生效。但該行為於</w:t>
                        </w:r>
                        <w:proofErr w:type="gramStart"/>
                        <w:r w:rsidRPr="0011263F">
                          <w:rPr>
                            <w:rFonts w:ascii="微軟正黑體" w:eastAsia="微軟正黑體" w:hAnsi="微軟正黑體" w:cs="新細明體"/>
                            <w:kern w:val="0"/>
                            <w:szCs w:val="24"/>
                          </w:rPr>
                          <w:t>註</w:t>
                        </w:r>
                        <w:proofErr w:type="gramEnd"/>
                        <w:r w:rsidRPr="0011263F">
                          <w:rPr>
                            <w:rFonts w:ascii="微軟正黑體" w:eastAsia="微軟正黑體" w:hAnsi="微軟正黑體" w:cs="新細明體"/>
                            <w:kern w:val="0"/>
                            <w:szCs w:val="24"/>
                          </w:rPr>
                          <w:t>錄前對於行為後取得商標之權利，而於取得權利時知悉該行為之第三人，亦有效力。</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2. 第１項不適用於因移轉事業之全部或因其他概括承受而取得共同體商標或共同體商標之權利之人。</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3. 第二十條之法律行為，其效力依第十六條規定由會員國之法律定之。</w:t>
                        </w:r>
                      </w:p>
                    </w:tc>
                  </w:tr>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4. 於會員國就破產事項之共同規則生效前，破產或其他程序對於第三人之效力應以該等程序依國內法或應適用之公約所定義之第一次提起之地之會員國法律定之。</w:t>
                        </w:r>
                      </w:p>
                    </w:tc>
                  </w:tr>
                </w:tbl>
                <w:p w:rsidR="0011263F" w:rsidRPr="0011263F" w:rsidRDefault="0011263F" w:rsidP="0011263F">
                  <w:pPr>
                    <w:widowControl/>
                    <w:rPr>
                      <w:rFonts w:ascii="微軟正黑體" w:eastAsia="微軟正黑體" w:hAnsi="微軟正黑體" w:cs="新細明體"/>
                      <w:kern w:val="0"/>
                      <w:szCs w:val="24"/>
                    </w:rPr>
                  </w:pP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5328"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b/>
                      <w:bCs/>
                      <w:kern w:val="0"/>
                      <w:szCs w:val="24"/>
                    </w:rPr>
                    <w:t>第二十四條、共同體商標作為財產客體之申請</w:t>
                  </w:r>
                </w:p>
              </w:tc>
            </w:tr>
            <w:tr w:rsidR="0011263F" w:rsidRPr="0011263F">
              <w:trPr>
                <w:tblCellSpacing w:w="15" w:type="dxa"/>
              </w:trPr>
              <w:tc>
                <w:tcPr>
                  <w:tcW w:w="444"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lastRenderedPageBreak/>
                    <w:t> </w:t>
                  </w:r>
                </w:p>
              </w:tc>
              <w:tc>
                <w:tcPr>
                  <w:tcW w:w="5328" w:type="dxa"/>
                  <w:vAlign w:val="center"/>
                  <w:hideMark/>
                </w:tcPr>
                <w:tbl>
                  <w:tblPr>
                    <w:tblW w:w="5412" w:type="dxa"/>
                    <w:tblCellSpacing w:w="15" w:type="dxa"/>
                    <w:tblCellMar>
                      <w:top w:w="48" w:type="dxa"/>
                      <w:left w:w="48" w:type="dxa"/>
                      <w:bottom w:w="48" w:type="dxa"/>
                      <w:right w:w="48" w:type="dxa"/>
                    </w:tblCellMar>
                    <w:tblLook w:val="04A0" w:firstRow="1" w:lastRow="0" w:firstColumn="1" w:lastColumn="0" w:noHBand="0" w:noVBand="1"/>
                  </w:tblPr>
                  <w:tblGrid>
                    <w:gridCol w:w="430"/>
                    <w:gridCol w:w="4982"/>
                  </w:tblGrid>
                  <w:tr w:rsidR="0011263F" w:rsidRPr="0011263F">
                    <w:trPr>
                      <w:tblCellSpacing w:w="15" w:type="dxa"/>
                    </w:trPr>
                    <w:tc>
                      <w:tcPr>
                        <w:tcW w:w="372"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 </w:t>
                        </w:r>
                      </w:p>
                    </w:tc>
                    <w:tc>
                      <w:tcPr>
                        <w:tcW w:w="4776" w:type="dxa"/>
                        <w:vAlign w:val="center"/>
                        <w:hideMark/>
                      </w:tcPr>
                      <w:p w:rsidR="0011263F" w:rsidRPr="0011263F" w:rsidRDefault="0011263F" w:rsidP="0011263F">
                        <w:pPr>
                          <w:widowControl/>
                          <w:rPr>
                            <w:rFonts w:ascii="微軟正黑體" w:eastAsia="微軟正黑體" w:hAnsi="微軟正黑體" w:cs="新細明體"/>
                            <w:kern w:val="0"/>
                            <w:szCs w:val="24"/>
                          </w:rPr>
                        </w:pPr>
                        <w:r w:rsidRPr="0011263F">
                          <w:rPr>
                            <w:rFonts w:ascii="微軟正黑體" w:eastAsia="微軟正黑體" w:hAnsi="微軟正黑體" w:cs="新細明體"/>
                            <w:kern w:val="0"/>
                            <w:szCs w:val="24"/>
                          </w:rPr>
                          <w:t>第十六條至第二十三條適用於共同體商標之申請。</w:t>
                        </w:r>
                      </w:p>
                    </w:tc>
                  </w:tr>
                </w:tbl>
                <w:p w:rsidR="0011263F" w:rsidRPr="0011263F" w:rsidRDefault="0011263F" w:rsidP="0011263F">
                  <w:pPr>
                    <w:widowControl/>
                    <w:rPr>
                      <w:rFonts w:ascii="微軟正黑體" w:eastAsia="微軟正黑體" w:hAnsi="微軟正黑體" w:cs="新細明體"/>
                      <w:kern w:val="0"/>
                      <w:szCs w:val="24"/>
                    </w:rPr>
                  </w:pPr>
                </w:p>
              </w:tc>
            </w:tr>
          </w:tbl>
          <w:p w:rsidR="0011263F" w:rsidRPr="0011263F" w:rsidRDefault="0011263F" w:rsidP="0011263F">
            <w:pPr>
              <w:widowControl/>
              <w:rPr>
                <w:rFonts w:ascii="微軟正黑體" w:eastAsia="微軟正黑體" w:hAnsi="微軟正黑體" w:cs="Times New Roman"/>
                <w:kern w:val="0"/>
                <w:szCs w:val="24"/>
              </w:rPr>
            </w:pPr>
          </w:p>
        </w:tc>
      </w:tr>
    </w:tbl>
    <w:p w:rsidR="005705A1" w:rsidRPr="0011263F" w:rsidRDefault="0011263F">
      <w:pPr>
        <w:rPr>
          <w:rFonts w:ascii="微軟正黑體" w:eastAsia="微軟正黑體" w:hAnsi="微軟正黑體"/>
          <w:szCs w:val="24"/>
        </w:rPr>
      </w:pPr>
    </w:p>
    <w:sectPr w:rsidR="005705A1" w:rsidRPr="001126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3F"/>
    <w:rsid w:val="0011263F"/>
    <w:rsid w:val="007C4ABE"/>
    <w:rsid w:val="00D91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049FF-ECAE-40C3-8EFA-C0FD9CD4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2015-12-04T10:02:00Z</dcterms:created>
  <dcterms:modified xsi:type="dcterms:W3CDTF">2015-12-04T10:04:00Z</dcterms:modified>
</cp:coreProperties>
</file>